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lav"/>
        <w:rPr/>
      </w:pPr>
      <w:r>
        <w:rPr/>
        <w:t xml:space="preserve">Příloha č. 1 Školního řádu: </w:t>
      </w:r>
    </w:p>
    <w:p>
      <w:pPr>
        <w:pStyle w:val="Normal"/>
        <w:jc w:val="center"/>
        <w:rPr>
          <w:b/>
          <w:b/>
          <w:color w:val="000000" w:themeColor="text1"/>
          <w:sz w:val="32"/>
          <w:szCs w:val="32"/>
        </w:rPr>
      </w:pPr>
      <w:r>
        <w:rPr>
          <w:b/>
          <w:color w:val="000000" w:themeColor="text1"/>
          <w:sz w:val="32"/>
          <w:szCs w:val="32"/>
        </w:rPr>
        <w:t xml:space="preserve">Pravidla  pro hodnocení výsledků vzdělávání </w:t>
      </w:r>
    </w:p>
    <w:p>
      <w:pPr>
        <w:pStyle w:val="Normal"/>
        <w:jc w:val="center"/>
        <w:rPr/>
      </w:pPr>
      <w:r>
        <w:rPr/>
        <w:t>pro školní rok 2025/2026</w:t>
      </w:r>
    </w:p>
    <w:p>
      <w:pPr>
        <w:pStyle w:val="ListParagraph"/>
        <w:numPr>
          <w:ilvl w:val="0"/>
          <w:numId w:val="2"/>
        </w:numPr>
        <w:rPr>
          <w:b/>
          <w:b/>
          <w:bCs/>
          <w:sz w:val="32"/>
          <w:szCs w:val="32"/>
        </w:rPr>
      </w:pPr>
      <w:r>
        <w:rPr>
          <w:b/>
          <w:bCs/>
        </w:rPr>
        <w:t>Kritéria stupňů prospěchu:</w:t>
      </w:r>
    </w:p>
    <w:p>
      <w:pPr>
        <w:pStyle w:val="ListParagraph"/>
        <w:rPr>
          <w:b/>
          <w:b/>
          <w:bCs/>
          <w:sz w:val="32"/>
          <w:szCs w:val="32"/>
        </w:rPr>
      </w:pPr>
      <w:r>
        <w:rPr>
          <w:b/>
          <w:bCs/>
          <w:sz w:val="32"/>
          <w:szCs w:val="32"/>
        </w:rPr>
      </w:r>
    </w:p>
    <w:p>
      <w:pPr>
        <w:pStyle w:val="Normal"/>
        <w:ind w:left="360" w:hanging="0"/>
        <w:rPr/>
      </w:pPr>
      <w:r>
        <w:rPr/>
        <w:t xml:space="preserve">1.1.Žáci jsou klasifikování v souladu se školskou legislativou. </w:t>
      </w:r>
    </w:p>
    <w:p>
      <w:pPr>
        <w:pStyle w:val="ListParagraph"/>
        <w:tabs>
          <w:tab w:val="clear" w:pos="708"/>
          <w:tab w:val="left" w:pos="3060" w:leader="none"/>
          <w:tab w:val="left" w:pos="5760" w:leader="none"/>
        </w:tabs>
        <w:rPr/>
      </w:pPr>
      <w:r>
        <w:rPr/>
        <w:t>Stupně klasifikace</w:t>
        <w:tab/>
        <w:t xml:space="preserve">1 - </w:t>
      </w:r>
      <w:r>
        <w:rPr>
          <w:b/>
        </w:rPr>
        <w:t>výborný</w:t>
      </w:r>
    </w:p>
    <w:p>
      <w:pPr>
        <w:pStyle w:val="ListParagraph"/>
        <w:tabs>
          <w:tab w:val="clear" w:pos="708"/>
          <w:tab w:val="left" w:pos="3060" w:leader="none"/>
          <w:tab w:val="left" w:pos="5760" w:leader="none"/>
        </w:tabs>
        <w:rPr/>
      </w:pPr>
      <w:r>
        <w:rPr/>
        <w:tab/>
        <w:t xml:space="preserve">2 - </w:t>
      </w:r>
      <w:r>
        <w:rPr>
          <w:b/>
        </w:rPr>
        <w:t>chvalitebný</w:t>
      </w:r>
    </w:p>
    <w:p>
      <w:pPr>
        <w:pStyle w:val="ListParagraph"/>
        <w:tabs>
          <w:tab w:val="clear" w:pos="708"/>
          <w:tab w:val="left" w:pos="3060" w:leader="none"/>
          <w:tab w:val="left" w:pos="5760" w:leader="none"/>
        </w:tabs>
        <w:rPr/>
      </w:pPr>
      <w:r>
        <w:rPr/>
        <w:tab/>
        <w:t xml:space="preserve">3 - </w:t>
      </w:r>
      <w:r>
        <w:rPr>
          <w:b/>
        </w:rPr>
        <w:t>dobrý</w:t>
      </w:r>
    </w:p>
    <w:p>
      <w:pPr>
        <w:pStyle w:val="ListParagraph"/>
        <w:tabs>
          <w:tab w:val="clear" w:pos="708"/>
          <w:tab w:val="left" w:pos="3060" w:leader="none"/>
          <w:tab w:val="left" w:pos="5760" w:leader="none"/>
        </w:tabs>
        <w:rPr/>
      </w:pPr>
      <w:r>
        <w:rPr/>
        <w:tab/>
        <w:t xml:space="preserve">4 - </w:t>
      </w:r>
      <w:r>
        <w:rPr>
          <w:b/>
        </w:rPr>
        <w:t>dostatečný</w:t>
      </w:r>
    </w:p>
    <w:p>
      <w:pPr>
        <w:pStyle w:val="ListParagraph"/>
        <w:tabs>
          <w:tab w:val="clear" w:pos="708"/>
          <w:tab w:val="left" w:pos="3060" w:leader="none"/>
          <w:tab w:val="left" w:pos="5760" w:leader="none"/>
        </w:tabs>
        <w:rPr>
          <w:b/>
          <w:b/>
        </w:rPr>
      </w:pPr>
      <w:r>
        <w:rPr/>
        <w:tab/>
        <w:t xml:space="preserve">5 – </w:t>
      </w:r>
      <w:r>
        <w:rPr>
          <w:b/>
        </w:rPr>
        <w:t>nedostatečný</w:t>
      </w:r>
    </w:p>
    <w:p>
      <w:pPr>
        <w:pStyle w:val="ListParagraph"/>
        <w:tabs>
          <w:tab w:val="clear" w:pos="708"/>
          <w:tab w:val="left" w:pos="3060" w:leader="none"/>
          <w:tab w:val="left" w:pos="5760" w:leader="none"/>
        </w:tabs>
        <w:rPr>
          <w:b/>
          <w:b/>
        </w:rPr>
      </w:pPr>
      <w:r>
        <w:rPr/>
        <w:t xml:space="preserve">                                          </w:t>
      </w:r>
      <w:r>
        <w:rPr/>
        <w:t>N</w:t>
      </w:r>
      <w:r>
        <w:rPr>
          <w:b/>
        </w:rPr>
        <w:t xml:space="preserve"> – nehodnocen</w:t>
      </w:r>
    </w:p>
    <w:p>
      <w:pPr>
        <w:pStyle w:val="ListParagraph"/>
        <w:tabs>
          <w:tab w:val="clear" w:pos="708"/>
          <w:tab w:val="left" w:pos="3060" w:leader="none"/>
          <w:tab w:val="left" w:pos="5760" w:leader="none"/>
        </w:tabs>
        <w:rPr>
          <w:b/>
          <w:b/>
        </w:rPr>
      </w:pPr>
      <w:r>
        <w:rPr/>
        <w:tab/>
        <w:t xml:space="preserve">U – </w:t>
      </w:r>
      <w:r>
        <w:rPr>
          <w:b/>
        </w:rPr>
        <w:t>uvolněn</w:t>
      </w:r>
    </w:p>
    <w:p>
      <w:pPr>
        <w:pStyle w:val="ListParagraph"/>
        <w:tabs>
          <w:tab w:val="clear" w:pos="708"/>
          <w:tab w:val="left" w:pos="3060" w:leader="none"/>
          <w:tab w:val="left" w:pos="5760" w:leader="none"/>
        </w:tabs>
        <w:rPr>
          <w:b/>
          <w:b/>
        </w:rPr>
      </w:pPr>
      <w:r>
        <w:rPr>
          <w:b/>
        </w:rPr>
      </w:r>
    </w:p>
    <w:p>
      <w:pPr>
        <w:pStyle w:val="ListParagraph"/>
        <w:tabs>
          <w:tab w:val="clear" w:pos="708"/>
          <w:tab w:val="left" w:pos="3060" w:leader="none"/>
          <w:tab w:val="left" w:pos="5760" w:leader="none"/>
        </w:tabs>
        <w:rPr>
          <w:u w:val="single"/>
        </w:rPr>
      </w:pPr>
      <w:r>
        <w:rPr>
          <w:u w:val="single"/>
        </w:rPr>
        <w:t xml:space="preserve">Celkové hodnocení žáka se na vysvědčení vyjadřuje stupni:  </w:t>
      </w:r>
    </w:p>
    <w:p>
      <w:pPr>
        <w:pStyle w:val="ListParagraph"/>
        <w:numPr>
          <w:ilvl w:val="0"/>
          <w:numId w:val="1"/>
        </w:numPr>
        <w:tabs>
          <w:tab w:val="clear" w:pos="708"/>
          <w:tab w:val="left" w:pos="3060" w:leader="none"/>
          <w:tab w:val="left" w:pos="5760" w:leader="none"/>
        </w:tabs>
        <w:rPr/>
      </w:pPr>
      <w:r>
        <w:rPr>
          <w:b/>
        </w:rPr>
        <w:t>prospěl/a s vyznamenáním</w:t>
      </w:r>
    </w:p>
    <w:p>
      <w:pPr>
        <w:pStyle w:val="ListParagraph"/>
        <w:tabs>
          <w:tab w:val="clear" w:pos="708"/>
          <w:tab w:val="left" w:pos="3060" w:leader="none"/>
          <w:tab w:val="left" w:pos="5760" w:leader="none"/>
        </w:tabs>
        <w:ind w:left="1440" w:hanging="0"/>
        <w:rPr/>
      </w:pPr>
      <w:r>
        <w:rPr/>
        <w:t xml:space="preserve">není-li v žádném předmětu hodnocen při celkové klasifikace stupněm horším než "chvalitebný" a  průměrný prospěch povinných  předmětů není horší než 1,5                                </w:t>
      </w:r>
    </w:p>
    <w:p>
      <w:pPr>
        <w:pStyle w:val="ListParagraph"/>
        <w:numPr>
          <w:ilvl w:val="0"/>
          <w:numId w:val="1"/>
        </w:numPr>
        <w:tabs>
          <w:tab w:val="clear" w:pos="708"/>
          <w:tab w:val="left" w:pos="3060" w:leader="none"/>
          <w:tab w:val="left" w:pos="5760" w:leader="none"/>
        </w:tabs>
        <w:rPr/>
      </w:pPr>
      <w:r>
        <w:rPr>
          <w:b/>
        </w:rPr>
        <w:t>prospěl/a</w:t>
      </w:r>
      <w:r>
        <w:rPr/>
        <w:t xml:space="preserve"> není-li v některém předmětu při celkové klasifikace hodnocen stupněm "nedostatečný" </w:t>
      </w:r>
    </w:p>
    <w:p>
      <w:pPr>
        <w:pStyle w:val="ListParagraph"/>
        <w:numPr>
          <w:ilvl w:val="0"/>
          <w:numId w:val="1"/>
        </w:numPr>
        <w:tabs>
          <w:tab w:val="clear" w:pos="708"/>
          <w:tab w:val="left" w:pos="3060" w:leader="none"/>
          <w:tab w:val="left" w:pos="5760" w:leader="none"/>
        </w:tabs>
        <w:rPr/>
      </w:pPr>
      <w:r>
        <w:rPr>
          <w:b/>
        </w:rPr>
        <w:t>neprospěl/a j</w:t>
      </w:r>
      <w:r>
        <w:rPr/>
        <w:t xml:space="preserve">e-li hodnocen v některém předmětu při celkové klasifikaci stupněm "nedostatečný" nebo není-li žák hodnocen z některého předmětu na konci druhého pololetí. </w:t>
      </w:r>
    </w:p>
    <w:p>
      <w:pPr>
        <w:pStyle w:val="ListParagraph"/>
        <w:tabs>
          <w:tab w:val="clear" w:pos="708"/>
          <w:tab w:val="left" w:pos="3060" w:leader="none"/>
          <w:tab w:val="left" w:pos="5760" w:leader="none"/>
        </w:tabs>
        <w:rPr/>
      </w:pPr>
      <w:r>
        <w:rPr/>
      </w:r>
    </w:p>
    <w:p>
      <w:pPr>
        <w:pStyle w:val="ListParagraph"/>
        <w:numPr>
          <w:ilvl w:val="0"/>
          <w:numId w:val="2"/>
        </w:numPr>
        <w:rPr>
          <w:rFonts w:eastAsia="Times New Roman"/>
          <w:b/>
          <w:b/>
          <w:bCs/>
          <w:lang w:eastAsia="cs-CZ"/>
        </w:rPr>
      </w:pPr>
      <w:r>
        <w:rPr>
          <w:rFonts w:eastAsia="Times New Roman"/>
          <w:b/>
          <w:bCs/>
          <w:lang w:eastAsia="cs-CZ"/>
        </w:rPr>
        <w:t xml:space="preserve">Pravidla pro hodnocení v průběhu klasifikačního období. </w:t>
      </w:r>
    </w:p>
    <w:p>
      <w:pPr>
        <w:pStyle w:val="ListParagraph"/>
        <w:rPr>
          <w:rFonts w:eastAsia="Times New Roman"/>
          <w:b/>
          <w:b/>
          <w:bCs/>
          <w:lang w:eastAsia="cs-CZ"/>
        </w:rPr>
      </w:pPr>
      <w:r>
        <w:rPr>
          <w:rFonts w:eastAsia="Times New Roman"/>
          <w:b/>
          <w:bCs/>
          <w:lang w:eastAsia="cs-CZ"/>
        </w:rPr>
      </w:r>
    </w:p>
    <w:p>
      <w:pPr>
        <w:pStyle w:val="ListParagraph"/>
        <w:numPr>
          <w:ilvl w:val="1"/>
          <w:numId w:val="3"/>
        </w:numPr>
        <w:rPr>
          <w:rFonts w:eastAsia="Times New Roman"/>
          <w:lang w:eastAsia="cs-CZ"/>
        </w:rPr>
      </w:pPr>
      <w:r>
        <w:rPr>
          <w:rFonts w:eastAsia="Times New Roman"/>
          <w:lang w:eastAsia="cs-CZ"/>
        </w:rPr>
        <w:t xml:space="preserve">Hodnocení a klasifikaci výsledů vzdělávání provádějí učitelé průběžně během celého klasifikačního období. Forma hodnocení je specifická pro jednotlivé předměty a distanční formu vzdělávání.  Podklady pro hodnocení a klasifikaci získává učitel různými metodami, formami a prostředky, s nimiž žáky seznámí na začátku školního roku. </w:t>
      </w:r>
    </w:p>
    <w:p>
      <w:pPr>
        <w:pStyle w:val="ListParagraph"/>
        <w:numPr>
          <w:ilvl w:val="1"/>
          <w:numId w:val="3"/>
        </w:numPr>
        <w:rPr/>
      </w:pPr>
      <w:r>
        <w:rPr/>
        <w:t xml:space="preserve">V průběhu pololetí se hodnotí správnost a včasnost vypracování zadaných prací, domácích úkolů, cvičení a testů z probíraných témat. U zadaných prací se hodnotí schopnost samostatně vyhledávat, zpracovat a správně aplikovat získané informace. </w:t>
      </w:r>
    </w:p>
    <w:p>
      <w:pPr>
        <w:pStyle w:val="ListParagraph"/>
        <w:numPr>
          <w:ilvl w:val="1"/>
          <w:numId w:val="3"/>
        </w:numPr>
        <w:rPr/>
      </w:pPr>
      <w:r>
        <w:rPr/>
        <w:t xml:space="preserve">Při určování stupně prospěchu posuzuje učitel výsledky práce objektivně, nesmí podléhat žádnému vlivu subjektivnímu ani vnějšímu. Hodnocení je pedagogicky zdůvodněné, odborně správné a doložitelné. Učitel oznamuje žákovi bez zbytečného odkladu výsledek každého hodnocení a klasifikace. Při hodnocení poukazuje na klady a nedostatky hodnocených výkonů. Formativní hodnocení povzbuzuje žáky ke sledování vlastního pokroku. </w:t>
      </w:r>
    </w:p>
    <w:p>
      <w:pPr>
        <w:pStyle w:val="ListParagraph"/>
        <w:numPr>
          <w:ilvl w:val="1"/>
          <w:numId w:val="3"/>
        </w:numPr>
        <w:rPr/>
      </w:pPr>
      <w:r>
        <w:rPr/>
        <w:t xml:space="preserve">Pokud žák svou práci pro hodnocení neodevzdá nebo ji neodevzdá v přede stanoveném termínu, může být hodnocen stupněm „nedostatečný“. </w:t>
      </w:r>
    </w:p>
    <w:p>
      <w:pPr>
        <w:pStyle w:val="ListParagraph"/>
        <w:numPr>
          <w:ilvl w:val="1"/>
          <w:numId w:val="3"/>
        </w:numPr>
        <w:rPr/>
      </w:pPr>
      <w:r>
        <w:rPr/>
        <w:t xml:space="preserve">Hodnocení učitel zapisuje do IS Bakalář. </w:t>
      </w:r>
    </w:p>
    <w:p>
      <w:pPr>
        <w:pStyle w:val="ListParagraph"/>
        <w:rPr/>
      </w:pPr>
      <w:r>
        <w:rPr/>
      </w:r>
    </w:p>
    <w:p>
      <w:pPr>
        <w:pStyle w:val="ListParagraph"/>
        <w:numPr>
          <w:ilvl w:val="0"/>
          <w:numId w:val="3"/>
        </w:numPr>
        <w:tabs>
          <w:tab w:val="clear" w:pos="708"/>
          <w:tab w:val="left" w:pos="3060" w:leader="none"/>
          <w:tab w:val="left" w:pos="5760" w:leader="none"/>
        </w:tabs>
        <w:rPr>
          <w:b/>
          <w:b/>
          <w:bCs/>
        </w:rPr>
      </w:pPr>
      <w:r>
        <w:rPr>
          <w:b/>
          <w:bCs/>
        </w:rPr>
        <w:t xml:space="preserve">Pravidla pro hodnocení na konci klasifikačního období:  </w:t>
      </w:r>
    </w:p>
    <w:p>
      <w:pPr>
        <w:pStyle w:val="ListParagraph"/>
        <w:tabs>
          <w:tab w:val="clear" w:pos="708"/>
          <w:tab w:val="left" w:pos="3060" w:leader="none"/>
          <w:tab w:val="left" w:pos="5760" w:leader="none"/>
        </w:tabs>
        <w:ind w:left="360" w:hanging="0"/>
        <w:rPr>
          <w:b/>
          <w:b/>
          <w:bCs/>
        </w:rPr>
      </w:pPr>
      <w:r>
        <w:rPr>
          <w:b/>
          <w:bCs/>
        </w:rPr>
      </w:r>
    </w:p>
    <w:p>
      <w:pPr>
        <w:pStyle w:val="ListParagraph"/>
        <w:numPr>
          <w:ilvl w:val="1"/>
          <w:numId w:val="3"/>
        </w:numPr>
        <w:rPr/>
      </w:pPr>
      <w:r>
        <w:rPr/>
        <w:t>Podklady pro klasifikaci za příslušné období jsou získány na základě prověření znalostí při ústních nebo písemných zkouškách na konci pololetí s přihlédnutím k výsledkům průběžného hodnocení. Zkouška ve škole se koná v termínech vyhlášených ředitelkou školy, které jsou zveřejněny na stránkách školy. V případě, že se žák na zkoušku v řádných termínech nedostaví, popř. nesplní-li požadavky klasifikace (průběžně zadané úkoly), nebude hodnocen (N).</w:t>
      </w:r>
    </w:p>
    <w:p>
      <w:pPr>
        <w:pStyle w:val="ListParagraph"/>
        <w:numPr>
          <w:ilvl w:val="1"/>
          <w:numId w:val="3"/>
        </w:numPr>
        <w:tabs>
          <w:tab w:val="clear" w:pos="708"/>
          <w:tab w:val="left" w:pos="3060" w:leader="none"/>
          <w:tab w:val="left" w:pos="5760" w:leader="none"/>
        </w:tabs>
        <w:rPr/>
      </w:pPr>
      <w:r>
        <w:rPr/>
        <w:t xml:space="preserve">Při určování stupně prospěchu v jednotlivých předmětech na konci klasifikačního období se hodnotí kvalita práce a učební výsledky, jichž žák dosáhl za celé klasifikační období. Konečnou klasifikaci za příslušné období stanoví vyučující. </w:t>
      </w:r>
    </w:p>
    <w:p>
      <w:pPr>
        <w:pStyle w:val="ListParagraph"/>
        <w:numPr>
          <w:ilvl w:val="1"/>
          <w:numId w:val="3"/>
        </w:numPr>
        <w:tabs>
          <w:tab w:val="clear" w:pos="708"/>
          <w:tab w:val="left" w:pos="3060" w:leader="none"/>
          <w:tab w:val="left" w:pos="5760" w:leader="none"/>
        </w:tabs>
        <w:rPr/>
      </w:pPr>
      <w:r>
        <w:rPr/>
        <w:t xml:space="preserve">Při hodnocení a klasifikaci uplatňuje vyučující přiměřenou náročnost a pedagogický takt vůči žákovi. Při celkové klasifikaci přihlíží k zvláštnostem žáka i k tomu, že žák mohl v průběhu klasifikačního období zakolísat v učebních výkonech pro určitou indispozici. Součástí hodnocení je sebehodnocení žáků. </w:t>
      </w:r>
    </w:p>
    <w:p>
      <w:pPr>
        <w:pStyle w:val="ListParagraph"/>
        <w:numPr>
          <w:ilvl w:val="1"/>
          <w:numId w:val="3"/>
        </w:numPr>
        <w:tabs>
          <w:tab w:val="clear" w:pos="708"/>
          <w:tab w:val="left" w:pos="3060" w:leader="none"/>
          <w:tab w:val="left" w:pos="5760" w:leader="none"/>
        </w:tabs>
        <w:rPr/>
      </w:pPr>
      <w:r>
        <w:rPr/>
        <w:t xml:space="preserve">Učitel dbá na to, aby žáci a jejich zákonní zástupci byli včas informováni o průběhu a výsledcích vzdělávání. Na konci klasifikačního období nejpozději 24 hodin před konáním pedagogické rady zapíší učitelé příslušných předmětů výsledky celkové klasifikace do IS Bakalář. </w:t>
      </w:r>
    </w:p>
    <w:p>
      <w:pPr>
        <w:pStyle w:val="ListParagraph"/>
        <w:numPr>
          <w:ilvl w:val="1"/>
          <w:numId w:val="3"/>
        </w:numPr>
        <w:tabs>
          <w:tab w:val="clear" w:pos="708"/>
          <w:tab w:val="left" w:pos="3060" w:leader="none"/>
          <w:tab w:val="left" w:pos="5760" w:leader="none"/>
        </w:tabs>
        <w:rPr/>
      </w:pPr>
      <w:r>
        <w:rPr/>
        <w:t xml:space="preserve">Při hodnocení žáka se speciálními vzdělávacími potřebami a žáka s OMJ se zohledňuje doporučení školského poradenského zařízení a VP. </w:t>
      </w:r>
    </w:p>
    <w:p>
      <w:pPr>
        <w:pStyle w:val="ListParagraph"/>
        <w:numPr>
          <w:ilvl w:val="1"/>
          <w:numId w:val="3"/>
        </w:numPr>
        <w:tabs>
          <w:tab w:val="clear" w:pos="708"/>
          <w:tab w:val="left" w:pos="3060" w:leader="none"/>
          <w:tab w:val="left" w:pos="5760" w:leader="none"/>
        </w:tabs>
        <w:rPr/>
      </w:pPr>
      <w:r>
        <w:rPr/>
        <w:t>Pokud žák pololetní klasifikaci neuzavře z vážných důvodů, může požádat ředitelku školy o prodloužení v souladu s platnou školskou legislativou.</w:t>
      </w:r>
    </w:p>
    <w:p>
      <w:pPr>
        <w:pStyle w:val="ListParagraph"/>
        <w:numPr>
          <w:ilvl w:val="1"/>
          <w:numId w:val="3"/>
        </w:numPr>
        <w:tabs>
          <w:tab w:val="clear" w:pos="708"/>
          <w:tab w:val="left" w:pos="3060" w:leader="none"/>
          <w:tab w:val="left" w:pos="5760" w:leader="none"/>
        </w:tabs>
        <w:rPr/>
      </w:pPr>
      <w:r>
        <w:rPr/>
        <w:t>Nehodnocen z některých předmětů bude žák vždy:</w:t>
      </w:r>
    </w:p>
    <w:p>
      <w:pPr>
        <w:pStyle w:val="ListParagraph"/>
        <w:numPr>
          <w:ilvl w:val="0"/>
          <w:numId w:val="4"/>
        </w:numPr>
        <w:tabs>
          <w:tab w:val="clear" w:pos="708"/>
          <w:tab w:val="left" w:pos="3060" w:leader="none"/>
          <w:tab w:val="left" w:pos="5760" w:leader="none"/>
        </w:tabs>
        <w:rPr/>
      </w:pPr>
      <w:r>
        <w:rPr/>
        <w:t xml:space="preserve">bylo-li mu ředitelem školy uznáno hodnocení při přestupu z jiné školy podle § 66 odst. 4 nebo uznáno   </w:t>
      </w:r>
    </w:p>
    <w:p>
      <w:pPr>
        <w:pStyle w:val="ListParagraph"/>
        <w:tabs>
          <w:tab w:val="clear" w:pos="708"/>
          <w:tab w:val="left" w:pos="3060" w:leader="none"/>
          <w:tab w:val="left" w:pos="5760" w:leader="none"/>
        </w:tabs>
        <w:ind w:left="990" w:hanging="0"/>
        <w:rPr/>
      </w:pPr>
      <w:r>
        <w:rPr/>
        <w:t xml:space="preserve">vzdělání podle § 70 zákona č.561/2004 Sb.,                                   </w:t>
      </w:r>
    </w:p>
    <w:p>
      <w:pPr>
        <w:pStyle w:val="Normal"/>
        <w:tabs>
          <w:tab w:val="clear" w:pos="708"/>
          <w:tab w:val="left" w:pos="3060" w:leader="none"/>
          <w:tab w:val="left" w:pos="5760" w:leader="none"/>
        </w:tabs>
        <w:rPr/>
      </w:pPr>
      <w:r>
        <w:rPr/>
        <w:t xml:space="preserve">           </w:t>
      </w:r>
      <w:r>
        <w:rPr/>
        <w:t xml:space="preserve">d) po přechodnou dobu, na kterou byl uvolněn ředitelem školy z některého předmětu podle § 67 </w:t>
      </w:r>
    </w:p>
    <w:p>
      <w:pPr>
        <w:pStyle w:val="ListParagraph"/>
        <w:tabs>
          <w:tab w:val="clear" w:pos="708"/>
          <w:tab w:val="left" w:pos="3060" w:leader="none"/>
          <w:tab w:val="left" w:pos="5760" w:leader="none"/>
        </w:tabs>
        <w:rPr/>
      </w:pPr>
      <w:r>
        <w:rPr/>
        <w:t xml:space="preserve">   </w:t>
      </w:r>
      <w:r>
        <w:rPr/>
        <w:t>odst. 2 zákona č. 561/2004 Sb.</w:t>
      </w:r>
    </w:p>
    <w:p>
      <w:pPr>
        <w:pStyle w:val="ListParagraph"/>
        <w:numPr>
          <w:ilvl w:val="1"/>
          <w:numId w:val="3"/>
        </w:numPr>
        <w:tabs>
          <w:tab w:val="clear" w:pos="708"/>
          <w:tab w:val="left" w:pos="3060" w:leader="none"/>
          <w:tab w:val="left" w:pos="5760" w:leader="none"/>
        </w:tabs>
        <w:rPr/>
      </w:pPr>
      <w:r>
        <w:rPr/>
        <w:t xml:space="preserve">S požadavky, průběhem a formami hodnocení seznámí žáky vyučující na první konzultaci ve škole, vloží je do </w:t>
      </w:r>
      <w:r>
        <w:rPr>
          <w:shd w:fill="auto" w:val="clear"/>
        </w:rPr>
        <w:t>Google učebny</w:t>
      </w:r>
      <w:r>
        <w:rPr>
          <w:color w:val="FF0000"/>
          <w:shd w:fill="auto" w:val="clear"/>
        </w:rPr>
        <w:t>.</w:t>
      </w:r>
    </w:p>
    <w:p>
      <w:pPr>
        <w:pStyle w:val="Normal"/>
        <w:tabs>
          <w:tab w:val="clear" w:pos="708"/>
          <w:tab w:val="left" w:pos="3060" w:leader="none"/>
          <w:tab w:val="left" w:pos="5760" w:leader="none"/>
        </w:tabs>
        <w:rPr/>
      </w:pPr>
      <w:r>
        <w:rPr/>
      </w:r>
    </w:p>
    <w:p>
      <w:pPr>
        <w:pStyle w:val="ListParagraph"/>
        <w:numPr>
          <w:ilvl w:val="0"/>
          <w:numId w:val="3"/>
        </w:numPr>
        <w:tabs>
          <w:tab w:val="clear" w:pos="708"/>
          <w:tab w:val="left" w:pos="3060" w:leader="none"/>
          <w:tab w:val="left" w:pos="5760" w:leader="none"/>
        </w:tabs>
        <w:rPr>
          <w:b/>
          <w:b/>
          <w:bCs/>
        </w:rPr>
      </w:pPr>
      <w:r>
        <w:rPr>
          <w:b/>
          <w:bCs/>
        </w:rPr>
        <w:t xml:space="preserve">Komisionální zkoušky: </w:t>
      </w:r>
    </w:p>
    <w:p>
      <w:pPr>
        <w:pStyle w:val="Normal"/>
        <w:tabs>
          <w:tab w:val="clear" w:pos="708"/>
          <w:tab w:val="left" w:pos="3060" w:leader="none"/>
          <w:tab w:val="left" w:pos="5760" w:leader="none"/>
        </w:tabs>
        <w:rPr>
          <w:b/>
          <w:b/>
          <w:bCs/>
        </w:rPr>
      </w:pPr>
      <w:r>
        <w:rPr>
          <w:b/>
          <w:bCs/>
        </w:rPr>
      </w:r>
    </w:p>
    <w:p>
      <w:pPr>
        <w:pStyle w:val="ListParagraph"/>
        <w:numPr>
          <w:ilvl w:val="1"/>
          <w:numId w:val="3"/>
        </w:numPr>
        <w:tabs>
          <w:tab w:val="clear" w:pos="708"/>
          <w:tab w:val="left" w:pos="3060" w:leader="none"/>
          <w:tab w:val="left" w:pos="5760" w:leader="none"/>
        </w:tabs>
        <w:rPr/>
      </w:pPr>
      <w:r>
        <w:rPr/>
        <w:t xml:space="preserve">Žák koná komisionální zkoušku v případě opravné zkoušky nebo komisionálního přezkoušení. </w:t>
      </w:r>
    </w:p>
    <w:p>
      <w:pPr>
        <w:pStyle w:val="ListParagraph"/>
        <w:numPr>
          <w:ilvl w:val="1"/>
          <w:numId w:val="3"/>
        </w:numPr>
        <w:tabs>
          <w:tab w:val="clear" w:pos="708"/>
          <w:tab w:val="left" w:pos="3060" w:leader="none"/>
          <w:tab w:val="left" w:pos="5760" w:leader="none"/>
        </w:tabs>
        <w:rPr/>
      </w:pPr>
      <w:r>
        <w:rPr/>
        <w:t> </w:t>
      </w:r>
      <w:r>
        <w:rPr/>
        <w:t xml:space="preserve">V případě, že žák na konci druhého pololetí neprospěl z jednoho nanejvýš ze dvou předmětů, koná opravné zkoušky v předepsaném termínu, nejpozději do konce srpna příslušného školního rok. </w:t>
      </w:r>
      <w:r>
        <w:rPr>
          <w:rFonts w:cs="Arial" w:ascii="Arial" w:hAnsi="Arial"/>
          <w:color w:val="000000"/>
          <w:sz w:val="20"/>
          <w:szCs w:val="20"/>
        </w:rPr>
        <w:t> </w:t>
      </w:r>
      <w:r>
        <w:rPr/>
        <w:t xml:space="preserve">Ze závažných důvodů může ředitelka školy žákovi stanovit náhradní termín opravné zkoušky nejpozději do konce září následujícího školního roku. </w:t>
      </w:r>
    </w:p>
    <w:p>
      <w:pPr>
        <w:pStyle w:val="ListParagraph"/>
        <w:numPr>
          <w:ilvl w:val="1"/>
          <w:numId w:val="3"/>
        </w:numPr>
        <w:tabs>
          <w:tab w:val="clear" w:pos="708"/>
          <w:tab w:val="left" w:pos="3060" w:leader="none"/>
          <w:tab w:val="left" w:pos="5760" w:leader="none"/>
        </w:tabs>
        <w:rPr>
          <w:highlight w:val="yellow"/>
        </w:rPr>
      </w:pPr>
      <w:r>
        <w:rPr/>
        <w:t xml:space="preserve">Žáci I. – III. ročníku jsou povinni uzavřít ročník nejpozději do konce srpna příslušného školního roku. Žáci IV. ročníku jsou povinni uzavřít ročník nejpozději do konce dubna příslušného školního roku, aby mohli složit maturitní zkoušku v jarním termínu. </w:t>
      </w:r>
      <w:r>
        <w:rPr>
          <w:shd w:fill="auto" w:val="clear"/>
        </w:rPr>
        <w:t>Pokud žák IV. ročníku</w:t>
      </w:r>
      <w:r>
        <w:rPr>
          <w:color w:val="000000"/>
          <w:shd w:fill="auto" w:val="clear"/>
        </w:rPr>
        <w:t xml:space="preserve"> </w:t>
      </w:r>
      <w:r>
        <w:rPr>
          <w:color w:val="000000"/>
          <w:shd w:fill="auto" w:val="clear"/>
        </w:rPr>
        <w:t xml:space="preserve">uzavře ročník do 25. 6. příslušného </w:t>
      </w:r>
      <w:r>
        <w:rPr>
          <w:color w:val="000000"/>
          <w:shd w:fill="auto" w:val="clear"/>
        </w:rPr>
        <w:t>ško</w:t>
      </w:r>
      <w:r>
        <w:rPr>
          <w:shd w:fill="auto" w:val="clear"/>
        </w:rPr>
        <w:t>lního roku, může konat maturitní zkoušky v podzimním termínu.</w:t>
      </w:r>
    </w:p>
    <w:p>
      <w:pPr>
        <w:pStyle w:val="ListParagraph"/>
        <w:numPr>
          <w:ilvl w:val="1"/>
          <w:numId w:val="3"/>
        </w:numPr>
        <w:tabs>
          <w:tab w:val="clear" w:pos="708"/>
          <w:tab w:val="left" w:pos="3060" w:leader="none"/>
          <w:tab w:val="left" w:pos="5760" w:leader="none"/>
        </w:tabs>
        <w:rPr/>
      </w:pPr>
      <w:r>
        <w:rPr/>
        <w:t xml:space="preserve">Žáci mohou požádat o komisionální přezkoušení v souladu s platnou   legislativou, pokud mají pochybnosti o správnosti hodnocení. Podrobnosti týkající se konání komisionální zkoušky včetně složení komise pro komisionální zkoušku, termínu konání zkoušky a způsobu vyrozumění žáka a zákonného zástupce nezletilého žáka o výsledcích zkoušky stanoví ředitelka školy. </w:t>
      </w:r>
    </w:p>
    <w:p>
      <w:pPr>
        <w:pStyle w:val="ListParagraph"/>
        <w:numPr>
          <w:ilvl w:val="1"/>
          <w:numId w:val="3"/>
        </w:numPr>
        <w:tabs>
          <w:tab w:val="clear" w:pos="708"/>
          <w:tab w:val="left" w:pos="3060" w:leader="none"/>
          <w:tab w:val="left" w:pos="5760" w:leader="none"/>
        </w:tabs>
        <w:rPr/>
      </w:pPr>
      <w:r>
        <w:rPr/>
        <w:t xml:space="preserve">Nedostaví-li se žák ke komisionální zkoušce pro vážné důvody, je povinen se nejpozději do tří dnů ode dne konání zkoušky omluvit ředitelce školy, která posoudí závažnost důvodů. Jestliže se žák nedostaví ke zkoušce bez omluvy nebo jestliže mu omluva nebyla uznána, je klasifikován stupněm prospěchu nedostatečný (v případě opravné zkoušky), popř. stupněm prospěchu takovým, jaký mu původně navrhl vyučující daného předmětu (v případě komisionálního přezkoušení). </w:t>
      </w:r>
    </w:p>
    <w:p>
      <w:pPr>
        <w:pStyle w:val="ListParagraph"/>
        <w:numPr>
          <w:ilvl w:val="1"/>
          <w:numId w:val="3"/>
        </w:numPr>
        <w:tabs>
          <w:tab w:val="clear" w:pos="708"/>
          <w:tab w:val="left" w:pos="3060" w:leader="none"/>
          <w:tab w:val="left" w:pos="5760" w:leader="none"/>
        </w:tabs>
        <w:rPr/>
      </w:pPr>
      <w:r>
        <w:rPr/>
        <w:t>Komisionální zkoušku může žák konat v jednom dni nejvýše jednou.</w:t>
      </w:r>
    </w:p>
    <w:p>
      <w:pPr>
        <w:pStyle w:val="ListParagraph"/>
        <w:numPr>
          <w:ilvl w:val="1"/>
          <w:numId w:val="3"/>
        </w:numPr>
        <w:tabs>
          <w:tab w:val="clear" w:pos="708"/>
          <w:tab w:val="left" w:pos="3060" w:leader="none"/>
          <w:tab w:val="left" w:pos="5760" w:leader="none"/>
        </w:tabs>
        <w:rPr/>
      </w:pPr>
      <w:r>
        <w:rPr/>
        <w:t>Zájemci o přijetí do vyššího ročníku  konají předepsané rozdílové zkoušky v termínu určeném ředitelkou školy. Pokud ze závažných důvodů zkoušku nesloží, mohou požádat ředitelku školy o náhradní termín. Rozdílové zkoušky jsou komisionální.</w:t>
      </w:r>
    </w:p>
    <w:p>
      <w:pPr>
        <w:pStyle w:val="ListParagraph"/>
        <w:tabs>
          <w:tab w:val="clear" w:pos="708"/>
          <w:tab w:val="left" w:pos="3060" w:leader="none"/>
          <w:tab w:val="left" w:pos="5760" w:leader="none"/>
        </w:tabs>
        <w:rPr/>
      </w:pPr>
      <w:r>
        <w:rPr/>
      </w:r>
    </w:p>
    <w:p>
      <w:pPr>
        <w:pStyle w:val="ListParagraph"/>
        <w:numPr>
          <w:ilvl w:val="0"/>
          <w:numId w:val="3"/>
        </w:numPr>
        <w:tabs>
          <w:tab w:val="clear" w:pos="708"/>
          <w:tab w:val="left" w:pos="3060" w:leader="none"/>
          <w:tab w:val="left" w:pos="5760" w:leader="none"/>
        </w:tabs>
        <w:rPr>
          <w:b/>
          <w:b/>
          <w:bCs/>
        </w:rPr>
      </w:pPr>
      <w:r>
        <w:rPr>
          <w:b/>
          <w:bCs/>
        </w:rPr>
        <w:t>Opatření k motivaci žáků:</w:t>
      </w:r>
    </w:p>
    <w:p>
      <w:pPr>
        <w:pStyle w:val="ListParagraph"/>
        <w:tabs>
          <w:tab w:val="clear" w:pos="708"/>
          <w:tab w:val="left" w:pos="3060" w:leader="none"/>
          <w:tab w:val="left" w:pos="5760" w:leader="none"/>
        </w:tabs>
        <w:ind w:left="360" w:hanging="0"/>
        <w:rPr>
          <w:b/>
          <w:b/>
          <w:bCs/>
        </w:rPr>
      </w:pPr>
      <w:r>
        <w:rPr>
          <w:b/>
          <w:bCs/>
        </w:rPr>
      </w:r>
    </w:p>
    <w:p>
      <w:pPr>
        <w:pStyle w:val="ListParagraph"/>
        <w:numPr>
          <w:ilvl w:val="1"/>
          <w:numId w:val="3"/>
        </w:numPr>
        <w:tabs>
          <w:tab w:val="clear" w:pos="708"/>
          <w:tab w:val="left" w:pos="3060" w:leader="none"/>
          <w:tab w:val="left" w:pos="5760" w:leader="none"/>
        </w:tabs>
        <w:rPr>
          <w:b/>
          <w:b/>
          <w:bCs/>
        </w:rPr>
      </w:pPr>
      <w:r>
        <w:rPr>
          <w:b/>
          <w:bCs/>
        </w:rPr>
        <w:t xml:space="preserve"> </w:t>
      </w:r>
      <w:r>
        <w:rPr/>
        <w:t>Žákům ohroženým školním neúspěchem jsou poskytnuta některá z těchto vnitřních motivačních opatření:</w:t>
      </w:r>
    </w:p>
    <w:p>
      <w:pPr>
        <w:pStyle w:val="ListParagraph"/>
        <w:tabs>
          <w:tab w:val="clear" w:pos="708"/>
          <w:tab w:val="left" w:pos="3060" w:leader="none"/>
          <w:tab w:val="left" w:pos="5760" w:leader="none"/>
        </w:tabs>
        <w:rPr/>
      </w:pPr>
      <w:r>
        <w:rPr/>
        <w:t>a) podpora učitele – jestliže žák vykazuje špatné výsledky v hodnocení příslušného předmětu,</w:t>
      </w:r>
    </w:p>
    <w:p>
      <w:pPr>
        <w:pStyle w:val="ListParagraph"/>
        <w:tabs>
          <w:tab w:val="clear" w:pos="708"/>
          <w:tab w:val="left" w:pos="3060" w:leader="none"/>
          <w:tab w:val="left" w:pos="5760" w:leader="none"/>
        </w:tabs>
        <w:rPr/>
      </w:pPr>
      <w:r>
        <w:rPr/>
        <w:t>b) podpora třídního učitele – vykazuje-li žák špatné výsledky v hodnocení u více předmětů,</w:t>
      </w:r>
    </w:p>
    <w:p>
      <w:pPr>
        <w:pStyle w:val="ListParagraph"/>
        <w:tabs>
          <w:tab w:val="clear" w:pos="708"/>
          <w:tab w:val="left" w:pos="3060" w:leader="none"/>
          <w:tab w:val="left" w:pos="5760" w:leader="none"/>
        </w:tabs>
        <w:rPr/>
      </w:pPr>
      <w:r>
        <w:rPr/>
        <w:t>c) podpora školního poradenského pracoviště a vedení školy vykazuje-li žák soustavně špatné výsledky.</w:t>
      </w:r>
    </w:p>
    <w:p>
      <w:pPr>
        <w:pStyle w:val="Normal"/>
        <w:tabs>
          <w:tab w:val="clear" w:pos="708"/>
          <w:tab w:val="left" w:pos="3060" w:leader="none"/>
          <w:tab w:val="left" w:pos="5760" w:leader="none"/>
        </w:tabs>
        <w:rPr/>
      </w:pPr>
      <w:r>
        <w:rPr/>
        <w:t xml:space="preserve">      </w:t>
      </w:r>
      <w:r>
        <w:rPr/>
        <w:t>5.2. Navrhovanou formu podpory oznámí učitel nebo třídní učitel žákovi ihned poté, jakmile nedostatky</w:t>
      </w:r>
    </w:p>
    <w:p>
      <w:pPr>
        <w:pStyle w:val="ListParagraph"/>
        <w:tabs>
          <w:tab w:val="clear" w:pos="708"/>
          <w:tab w:val="left" w:pos="3060" w:leader="none"/>
          <w:tab w:val="left" w:pos="5760" w:leader="none"/>
        </w:tabs>
        <w:rPr/>
      </w:pPr>
      <w:r>
        <w:rPr/>
        <w:t>zjistil a současně informuje ŠMP. Na základě doporučení školního metodika prevence vyzve ředitelka žáka,  zákonného zástupce nezletilého žáka k osobnímu jednání, které proběhne za přítomnosti ředitelky školy, výchovné poradkyně, školního metodika prevence, třídního učitele a učitele předmětu, ve kterém žák dosahuje špatné výsledky.</w:t>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t xml:space="preserve"> </w:t>
      </w:r>
    </w:p>
    <w:p>
      <w:pPr>
        <w:pStyle w:val="ListParagraph"/>
        <w:numPr>
          <w:ilvl w:val="0"/>
          <w:numId w:val="3"/>
        </w:numPr>
        <w:tabs>
          <w:tab w:val="clear" w:pos="708"/>
          <w:tab w:val="left" w:pos="3060" w:leader="none"/>
          <w:tab w:val="left" w:pos="5760" w:leader="none"/>
        </w:tabs>
        <w:rPr>
          <w:b/>
          <w:b/>
          <w:bCs/>
        </w:rPr>
      </w:pPr>
      <w:r>
        <w:rPr>
          <w:b/>
          <w:bCs/>
        </w:rPr>
        <w:t>Informování zákonných zástupců nezletilých žáků a rodičů zletilých žáků:</w:t>
      </w:r>
    </w:p>
    <w:p>
      <w:pPr>
        <w:pStyle w:val="ListParagraph"/>
        <w:tabs>
          <w:tab w:val="clear" w:pos="708"/>
          <w:tab w:val="left" w:pos="3060" w:leader="none"/>
          <w:tab w:val="left" w:pos="5760" w:leader="none"/>
        </w:tabs>
        <w:ind w:left="360" w:hanging="0"/>
        <w:rPr>
          <w:b/>
          <w:b/>
          <w:bCs/>
        </w:rPr>
      </w:pPr>
      <w:r>
        <w:rPr>
          <w:b/>
          <w:bCs/>
        </w:rPr>
        <w:t xml:space="preserve"> </w:t>
      </w:r>
    </w:p>
    <w:p>
      <w:pPr>
        <w:pStyle w:val="ListParagraph"/>
        <w:numPr>
          <w:ilvl w:val="1"/>
          <w:numId w:val="3"/>
        </w:numPr>
        <w:tabs>
          <w:tab w:val="clear" w:pos="708"/>
          <w:tab w:val="left" w:pos="3060" w:leader="none"/>
          <w:tab w:val="left" w:pos="5760" w:leader="none"/>
        </w:tabs>
        <w:rPr/>
      </w:pPr>
      <w:r>
        <w:rPr/>
        <w:t>Na informace podle § 21 zákona č. 561/2004 Sb. odstavce 1 písm. b) mají právo zákonní zástupci nezletilých žáků, v případě zletilých žáků osoby, které vůči zletilým žákům plní vyživovací povinnost.</w:t>
      </w:r>
    </w:p>
    <w:p>
      <w:pPr>
        <w:pStyle w:val="ListParagraph"/>
        <w:tabs>
          <w:tab w:val="clear" w:pos="708"/>
          <w:tab w:val="left" w:pos="3060" w:leader="none"/>
          <w:tab w:val="left" w:pos="5760" w:leader="none"/>
        </w:tabs>
        <w:rPr/>
      </w:pPr>
      <w:r>
        <w:rPr/>
        <w:t xml:space="preserve"> </w:t>
      </w:r>
      <w:r>
        <w:rPr/>
        <w:t>Plnění tohoto práva škola zajišťuje průběžně prostřednictvím IS Bakalář.</w:t>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ListParagraph"/>
        <w:numPr>
          <w:ilvl w:val="0"/>
          <w:numId w:val="3"/>
        </w:numPr>
        <w:tabs>
          <w:tab w:val="clear" w:pos="708"/>
          <w:tab w:val="left" w:pos="3060" w:leader="none"/>
          <w:tab w:val="left" w:pos="5760" w:leader="none"/>
        </w:tabs>
        <w:rPr>
          <w:b/>
          <w:b/>
          <w:bCs/>
        </w:rPr>
      </w:pPr>
      <w:r>
        <w:rPr>
          <w:b/>
          <w:bCs/>
        </w:rPr>
        <w:t xml:space="preserve">Závěrečná ustanovení </w:t>
      </w:r>
    </w:p>
    <w:p>
      <w:pPr>
        <w:pStyle w:val="ListParagraph"/>
        <w:tabs>
          <w:tab w:val="clear" w:pos="708"/>
          <w:tab w:val="left" w:pos="3060" w:leader="none"/>
          <w:tab w:val="left" w:pos="5760" w:leader="none"/>
        </w:tabs>
        <w:ind w:left="360" w:hanging="0"/>
        <w:rPr/>
      </w:pPr>
      <w:r>
        <w:rPr/>
      </w:r>
    </w:p>
    <w:p>
      <w:pPr>
        <w:pStyle w:val="ListParagraph"/>
        <w:numPr>
          <w:ilvl w:val="1"/>
          <w:numId w:val="3"/>
        </w:numPr>
        <w:tabs>
          <w:tab w:val="clear" w:pos="708"/>
          <w:tab w:val="left" w:pos="3060" w:leader="none"/>
          <w:tab w:val="left" w:pos="5760" w:leader="none"/>
        </w:tabs>
        <w:rPr/>
      </w:pPr>
      <w:r>
        <w:rPr/>
        <w:t xml:space="preserve">Na ostatní pravidla a podmínky, které nejsou v těchto Pravidlech hodnocení výsledků vzdělávání   </w:t>
      </w:r>
    </w:p>
    <w:p>
      <w:pPr>
        <w:pStyle w:val="Normal"/>
        <w:tabs>
          <w:tab w:val="clear" w:pos="708"/>
          <w:tab w:val="left" w:pos="3060" w:leader="none"/>
          <w:tab w:val="left" w:pos="5760" w:leader="none"/>
        </w:tabs>
        <w:rPr/>
      </w:pPr>
      <w:r>
        <w:rPr/>
        <w:t xml:space="preserve">            </w:t>
      </w:r>
      <w:r>
        <w:rPr/>
        <w:t xml:space="preserve">řešeny se uplatní příslušné paragrafy zákona č. 561/2004 Sb. a vyhlášky č. 13/2005 Sb. v platném   </w:t>
      </w:r>
    </w:p>
    <w:p>
      <w:pPr>
        <w:pStyle w:val="Normal"/>
        <w:tabs>
          <w:tab w:val="clear" w:pos="708"/>
          <w:tab w:val="left" w:pos="3060" w:leader="none"/>
          <w:tab w:val="left" w:pos="5760" w:leader="none"/>
        </w:tabs>
        <w:rPr/>
      </w:pPr>
      <w:r>
        <w:rPr/>
        <w:t xml:space="preserve">            </w:t>
      </w:r>
      <w:r>
        <w:rPr/>
        <w:t>znění.</w:t>
      </w:r>
    </w:p>
    <w:p>
      <w:pPr>
        <w:pStyle w:val="Normal"/>
        <w:tabs>
          <w:tab w:val="clear" w:pos="708"/>
          <w:tab w:val="left" w:pos="3060" w:leader="none"/>
          <w:tab w:val="left" w:pos="5760" w:leader="none"/>
        </w:tabs>
        <w:rPr/>
      </w:pPr>
      <w:r>
        <w:rPr/>
        <w:t xml:space="preserve">      </w:t>
      </w:r>
      <w:r>
        <w:rPr/>
        <w:t xml:space="preserve">7.2. Pravidla pro hodnocení výsledků vzdělávání byla projednána a schválena na pedagogické radě </w:t>
      </w:r>
    </w:p>
    <w:p>
      <w:pPr>
        <w:pStyle w:val="Normal"/>
        <w:tabs>
          <w:tab w:val="clear" w:pos="708"/>
          <w:tab w:val="left" w:pos="3060" w:leader="none"/>
          <w:tab w:val="left" w:pos="5760" w:leader="none"/>
        </w:tabs>
        <w:rPr/>
      </w:pPr>
      <w:r>
        <w:rPr/>
        <w:t xml:space="preserve">             </w:t>
      </w:r>
      <w:r>
        <w:rPr/>
        <w:t>dne 29. 8. 2025 a schválena školskou radou jako Příloha č. 1 Školního řádu.</w:t>
      </w:r>
    </w:p>
    <w:p>
      <w:pPr>
        <w:pStyle w:val="Normal"/>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t xml:space="preserve">        </w:t>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r>
    </w:p>
    <w:p>
      <w:pPr>
        <w:pStyle w:val="ListParagraph"/>
        <w:tabs>
          <w:tab w:val="clear" w:pos="708"/>
          <w:tab w:val="left" w:pos="3060" w:leader="none"/>
          <w:tab w:val="left" w:pos="5760" w:leader="none"/>
        </w:tabs>
        <w:rPr/>
      </w:pPr>
      <w:r>
        <w:rPr/>
        <w:t>V Praze dne 1. září 2025                                       Ing. Andrea Pospíšilová  – ředitelka školy</w:t>
      </w:r>
    </w:p>
    <w:p>
      <w:pPr>
        <w:pStyle w:val="ListParagraph"/>
        <w:tabs>
          <w:tab w:val="clear" w:pos="708"/>
          <w:tab w:val="left" w:pos="3060" w:leader="none"/>
          <w:tab w:val="left" w:pos="5760" w:leader="none"/>
        </w:tabs>
        <w:rPr/>
      </w:pPr>
      <w:r>
        <w:rPr/>
        <w:t xml:space="preserve">                                         </w:t>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p>
      <w:pPr>
        <w:pStyle w:val="Normal"/>
        <w:tabs>
          <w:tab w:val="clear" w:pos="708"/>
          <w:tab w:val="left" w:pos="3060" w:leader="none"/>
          <w:tab w:val="left" w:pos="5760" w:leader="none"/>
        </w:tabs>
        <w:rPr/>
      </w:pPr>
      <w:r>
        <w:rPr/>
      </w:r>
    </w:p>
    <w:sectPr>
      <w:headerReference w:type="default" r:id="rId2"/>
      <w:type w:val="nextPage"/>
      <w:pgSz w:w="11906" w:h="16838"/>
      <w:pgMar w:left="851" w:right="566" w:gutter="0" w:header="284" w:top="545" w:footer="0" w:bottom="14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pBdr>
        <w:bottom w:val="single" w:sz="4" w:space="0" w:color="000000"/>
      </w:pBdr>
      <w:tabs>
        <w:tab w:val="clear" w:pos="9072"/>
        <w:tab w:val="center" w:pos="4536" w:leader="none"/>
        <w:tab w:val="left" w:pos="8748" w:leader="none"/>
      </w:tabs>
      <w:rPr/>
    </w:pPr>
    <w:r>
      <w:rPr/>
      <w:drawing>
        <wp:inline distT="0" distB="0" distL="0" distR="0">
          <wp:extent cx="3958590" cy="1224280"/>
          <wp:effectExtent l="0" t="0" r="0" b="0"/>
          <wp:docPr id="1" name="obrázek 1" descr="Hlavič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Hlavička"/>
                  <pic:cNvPicPr>
                    <a:picLocks noChangeAspect="1" noChangeArrowheads="1"/>
                  </pic:cNvPicPr>
                </pic:nvPicPr>
                <pic:blipFill>
                  <a:blip r:embed="rId1"/>
                  <a:stretch>
                    <a:fillRect/>
                  </a:stretch>
                </pic:blipFill>
                <pic:spPr bwMode="auto">
                  <a:xfrm>
                    <a:off x="0" y="0"/>
                    <a:ext cx="3958590" cy="122428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sz w:val="24"/>
      </w:rPr>
    </w:lvl>
    <w:lvl w:ilvl="1">
      <w:start w:val="2"/>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2"/>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4">
    <w:lvl w:ilvl="0">
      <w:start w:val="1"/>
      <w:numFmt w:val="lowerLetter"/>
      <w:lvlText w:val="%1)"/>
      <w:lvlJc w:val="left"/>
      <w:pPr>
        <w:tabs>
          <w:tab w:val="num" w:pos="0"/>
        </w:tabs>
        <w:ind w:left="990" w:hanging="360"/>
      </w:pPr>
      <w:rPr/>
    </w:lvl>
    <w:lvl w:ilvl="1">
      <w:start w:val="1"/>
      <w:numFmt w:val="lowerLetter"/>
      <w:lvlText w:val="%2."/>
      <w:lvlJc w:val="left"/>
      <w:pPr>
        <w:tabs>
          <w:tab w:val="num" w:pos="0"/>
        </w:tabs>
        <w:ind w:left="1710" w:hanging="360"/>
      </w:pPr>
      <w:rPr/>
    </w:lvl>
    <w:lvl w:ilvl="2">
      <w:start w:val="1"/>
      <w:numFmt w:val="lowerRoman"/>
      <w:lvlText w:val="%3."/>
      <w:lvlJc w:val="right"/>
      <w:pPr>
        <w:tabs>
          <w:tab w:val="num" w:pos="0"/>
        </w:tabs>
        <w:ind w:left="2430" w:hanging="180"/>
      </w:pPr>
      <w:rPr/>
    </w:lvl>
    <w:lvl w:ilvl="3">
      <w:start w:val="1"/>
      <w:numFmt w:val="decimal"/>
      <w:lvlText w:val="%4."/>
      <w:lvlJc w:val="left"/>
      <w:pPr>
        <w:tabs>
          <w:tab w:val="num" w:pos="0"/>
        </w:tabs>
        <w:ind w:left="3150" w:hanging="360"/>
      </w:pPr>
      <w:rPr/>
    </w:lvl>
    <w:lvl w:ilvl="4">
      <w:start w:val="1"/>
      <w:numFmt w:val="lowerLetter"/>
      <w:lvlText w:val="%5."/>
      <w:lvlJc w:val="left"/>
      <w:pPr>
        <w:tabs>
          <w:tab w:val="num" w:pos="0"/>
        </w:tabs>
        <w:ind w:left="3870" w:hanging="360"/>
      </w:pPr>
      <w:rPr/>
    </w:lvl>
    <w:lvl w:ilvl="5">
      <w:start w:val="1"/>
      <w:numFmt w:val="lowerRoman"/>
      <w:lvlText w:val="%6."/>
      <w:lvlJc w:val="right"/>
      <w:pPr>
        <w:tabs>
          <w:tab w:val="num" w:pos="0"/>
        </w:tabs>
        <w:ind w:left="4590" w:hanging="180"/>
      </w:pPr>
      <w:rPr/>
    </w:lvl>
    <w:lvl w:ilvl="6">
      <w:start w:val="1"/>
      <w:numFmt w:val="decimal"/>
      <w:lvlText w:val="%7."/>
      <w:lvlJc w:val="left"/>
      <w:pPr>
        <w:tabs>
          <w:tab w:val="num" w:pos="0"/>
        </w:tabs>
        <w:ind w:left="5310" w:hanging="360"/>
      </w:pPr>
      <w:rPr/>
    </w:lvl>
    <w:lvl w:ilvl="7">
      <w:start w:val="1"/>
      <w:numFmt w:val="lowerLetter"/>
      <w:lvlText w:val="%8."/>
      <w:lvlJc w:val="left"/>
      <w:pPr>
        <w:tabs>
          <w:tab w:val="num" w:pos="0"/>
        </w:tabs>
        <w:ind w:left="6030" w:hanging="360"/>
      </w:pPr>
      <w:rPr/>
    </w:lvl>
    <w:lvl w:ilvl="8">
      <w:start w:val="1"/>
      <w:numFmt w:val="lowerRoman"/>
      <w:lvlText w:val="%9."/>
      <w:lvlJc w:val="right"/>
      <w:pPr>
        <w:tabs>
          <w:tab w:val="num" w:pos="0"/>
        </w:tabs>
        <w:ind w:left="675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1f10"/>
    <w:pPr>
      <w:widowControl/>
      <w:bidi w:val="0"/>
      <w:spacing w:before="0" w:after="0"/>
      <w:jc w:val="both"/>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qFormat/>
    <w:rsid w:val="005e1f10"/>
    <w:pPr>
      <w:keepNext w:val="true"/>
      <w:pageBreakBefore/>
      <w:ind w:left="113" w:right="113" w:hanging="0"/>
      <w:jc w:val="center"/>
      <w:outlineLvl w:val="0"/>
    </w:pPr>
    <w:rPr>
      <w:rFonts w:ascii="Arial" w:hAnsi="Arial"/>
      <w:smallCaps/>
      <w:w w:val="150"/>
      <w:sz w:val="18"/>
      <w:szCs w:val="20"/>
      <w:u w:val="single"/>
    </w:rPr>
  </w:style>
  <w:style w:type="paragraph" w:styleId="Nadpis2">
    <w:name w:val="Heading 2"/>
    <w:basedOn w:val="Normal"/>
    <w:next w:val="Normal"/>
    <w:link w:val="Nadpis2Char"/>
    <w:qFormat/>
    <w:rsid w:val="005e1f10"/>
    <w:pPr>
      <w:keepNext w:val="true"/>
      <w:outlineLvl w:val="1"/>
    </w:pPr>
    <w:rPr>
      <w:rFonts w:ascii="Arial" w:hAnsi="Arial"/>
      <w:b/>
      <w:w w:val="150"/>
      <w:sz w:val="20"/>
      <w:szCs w:val="20"/>
    </w:rPr>
  </w:style>
  <w:style w:type="paragraph" w:styleId="Nadpis3">
    <w:name w:val="Heading 3"/>
    <w:basedOn w:val="Normal"/>
    <w:next w:val="Normal"/>
    <w:link w:val="Nadpis3Char"/>
    <w:qFormat/>
    <w:rsid w:val="005e1f10"/>
    <w:pPr>
      <w:keepNext w:val="true"/>
      <w:spacing w:before="240" w:after="120"/>
      <w:outlineLvl w:val="2"/>
    </w:pPr>
    <w:rPr>
      <w:b/>
      <w:sz w:val="28"/>
    </w:rPr>
  </w:style>
  <w:style w:type="paragraph" w:styleId="Nadpis4">
    <w:name w:val="Heading 4"/>
    <w:basedOn w:val="Normal"/>
    <w:next w:val="Normal"/>
    <w:link w:val="Nadpis4Char"/>
    <w:qFormat/>
    <w:rsid w:val="005e1f10"/>
    <w:pPr>
      <w:keepNext w:val="true"/>
      <w:spacing w:before="80" w:after="0"/>
      <w:outlineLvl w:val="3"/>
    </w:pPr>
    <w:rPr>
      <w:b/>
      <w:bCs/>
    </w:rPr>
  </w:style>
  <w:style w:type="paragraph" w:styleId="Nadpis5">
    <w:name w:val="Heading 5"/>
    <w:basedOn w:val="Normal"/>
    <w:next w:val="Normal"/>
    <w:link w:val="Nadpis5Char"/>
    <w:qFormat/>
    <w:rsid w:val="005e1f10"/>
    <w:pPr>
      <w:keepNext w:val="true"/>
      <w:spacing w:before="120" w:after="0"/>
      <w:jc w:val="left"/>
      <w:outlineLvl w:val="4"/>
    </w:pPr>
    <w:rPr>
      <w:bCs/>
      <w:i/>
    </w:rPr>
  </w:style>
  <w:style w:type="paragraph" w:styleId="Nadpis6">
    <w:name w:val="Heading 6"/>
    <w:basedOn w:val="Normal"/>
    <w:next w:val="Normal"/>
    <w:link w:val="Nadpis6Char"/>
    <w:qFormat/>
    <w:rsid w:val="005e1f10"/>
    <w:pPr>
      <w:keepNext w:val="true"/>
      <w:jc w:val="center"/>
      <w:outlineLvl w:val="5"/>
    </w:pPr>
    <w:rPr>
      <w:rFonts w:ascii="Arial" w:hAnsi="Arial" w:eastAsia="Arial" w:cs="Arial"/>
      <w:color w:val="00CC00"/>
      <w:sz w:val="32"/>
      <w:szCs w:val="32"/>
    </w:rPr>
  </w:style>
  <w:style w:type="paragraph" w:styleId="Nadpis7">
    <w:name w:val="Heading 7"/>
    <w:basedOn w:val="Normal"/>
    <w:next w:val="Normal"/>
    <w:link w:val="Nadpis7Char"/>
    <w:qFormat/>
    <w:rsid w:val="005e1f10"/>
    <w:pPr>
      <w:keepNext w:val="true"/>
      <w:outlineLvl w:val="6"/>
    </w:pPr>
    <w:rPr>
      <w:b/>
      <w:bCs/>
      <w:szCs w:val="26"/>
    </w:rPr>
  </w:style>
  <w:style w:type="paragraph" w:styleId="Nadpis8">
    <w:name w:val="Heading 8"/>
    <w:basedOn w:val="Normal"/>
    <w:next w:val="Normal"/>
    <w:link w:val="Nadpis8Char"/>
    <w:qFormat/>
    <w:rsid w:val="005e1f10"/>
    <w:pPr>
      <w:keepNext w:val="true"/>
      <w:outlineLvl w:val="7"/>
    </w:pPr>
    <w:rPr>
      <w:b/>
      <w:sz w:val="20"/>
      <w:u w:val="single"/>
    </w:rPr>
  </w:style>
  <w:style w:type="paragraph" w:styleId="Nadpis9">
    <w:name w:val="Heading 9"/>
    <w:basedOn w:val="Normal"/>
    <w:next w:val="Normal"/>
    <w:link w:val="Nadpis9Char"/>
    <w:qFormat/>
    <w:rsid w:val="005e1f10"/>
    <w:pPr>
      <w:keepNext w:val="true"/>
      <w:jc w:val="left"/>
      <w:outlineLvl w:val="8"/>
    </w:pPr>
    <w:rPr>
      <w:b/>
      <w:sz w:val="18"/>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qFormat/>
    <w:rsid w:val="005e1f10"/>
    <w:rPr>
      <w:rFonts w:ascii="Arial" w:hAnsi="Arial"/>
      <w:smallCaps/>
      <w:w w:val="150"/>
      <w:sz w:val="18"/>
      <w:u w:val="single"/>
    </w:rPr>
  </w:style>
  <w:style w:type="character" w:styleId="Nadpis2Char" w:customStyle="1">
    <w:name w:val="Nadpis 2 Char"/>
    <w:basedOn w:val="DefaultParagraphFont"/>
    <w:qFormat/>
    <w:rsid w:val="005e1f10"/>
    <w:rPr>
      <w:rFonts w:ascii="Arial" w:hAnsi="Arial"/>
      <w:b/>
      <w:w w:val="150"/>
    </w:rPr>
  </w:style>
  <w:style w:type="character" w:styleId="Nadpis3Char" w:customStyle="1">
    <w:name w:val="Nadpis 3 Char"/>
    <w:basedOn w:val="DefaultParagraphFont"/>
    <w:qFormat/>
    <w:rsid w:val="005e1f10"/>
    <w:rPr>
      <w:b/>
      <w:sz w:val="28"/>
      <w:szCs w:val="24"/>
    </w:rPr>
  </w:style>
  <w:style w:type="character" w:styleId="Nadpis4Char" w:customStyle="1">
    <w:name w:val="Nadpis 4 Char"/>
    <w:basedOn w:val="DefaultParagraphFont"/>
    <w:qFormat/>
    <w:rsid w:val="005e1f10"/>
    <w:rPr>
      <w:b/>
      <w:bCs/>
      <w:sz w:val="24"/>
      <w:szCs w:val="24"/>
    </w:rPr>
  </w:style>
  <w:style w:type="character" w:styleId="Nadpis5Char" w:customStyle="1">
    <w:name w:val="Nadpis 5 Char"/>
    <w:basedOn w:val="DefaultParagraphFont"/>
    <w:qFormat/>
    <w:rsid w:val="005e1f10"/>
    <w:rPr>
      <w:bCs/>
      <w:i/>
      <w:sz w:val="24"/>
      <w:szCs w:val="24"/>
    </w:rPr>
  </w:style>
  <w:style w:type="character" w:styleId="Nadpis6Char" w:customStyle="1">
    <w:name w:val="Nadpis 6 Char"/>
    <w:basedOn w:val="DefaultParagraphFont"/>
    <w:qFormat/>
    <w:rsid w:val="005e1f10"/>
    <w:rPr>
      <w:rFonts w:ascii="Arial" w:hAnsi="Arial" w:eastAsia="Arial" w:cs="Arial"/>
      <w:color w:val="00CC00"/>
      <w:sz w:val="32"/>
      <w:szCs w:val="32"/>
    </w:rPr>
  </w:style>
  <w:style w:type="character" w:styleId="Nadpis7Char" w:customStyle="1">
    <w:name w:val="Nadpis 7 Char"/>
    <w:basedOn w:val="DefaultParagraphFont"/>
    <w:qFormat/>
    <w:rsid w:val="005e1f10"/>
    <w:rPr>
      <w:b/>
      <w:bCs/>
      <w:sz w:val="24"/>
      <w:szCs w:val="26"/>
    </w:rPr>
  </w:style>
  <w:style w:type="character" w:styleId="Nadpis8Char" w:customStyle="1">
    <w:name w:val="Nadpis 8 Char"/>
    <w:basedOn w:val="DefaultParagraphFont"/>
    <w:qFormat/>
    <w:rsid w:val="005e1f10"/>
    <w:rPr>
      <w:b/>
      <w:szCs w:val="24"/>
      <w:u w:val="single"/>
    </w:rPr>
  </w:style>
  <w:style w:type="character" w:styleId="Nadpis9Char" w:customStyle="1">
    <w:name w:val="Nadpis 9 Char"/>
    <w:basedOn w:val="DefaultParagraphFont"/>
    <w:qFormat/>
    <w:rsid w:val="005e1f10"/>
    <w:rPr>
      <w:b/>
      <w:sz w:val="18"/>
      <w:szCs w:val="24"/>
    </w:rPr>
  </w:style>
  <w:style w:type="character" w:styleId="Strong">
    <w:name w:val="Strong"/>
    <w:basedOn w:val="DefaultParagraphFont"/>
    <w:qFormat/>
    <w:rsid w:val="005e1f10"/>
    <w:rPr>
      <w:b/>
      <w:bCs/>
    </w:rPr>
  </w:style>
  <w:style w:type="character" w:styleId="ZhlavChar" w:customStyle="1">
    <w:name w:val="Záhlaví Char"/>
    <w:basedOn w:val="DefaultParagraphFont"/>
    <w:uiPriority w:val="99"/>
    <w:qFormat/>
    <w:rsid w:val="00674bbd"/>
    <w:rPr>
      <w:sz w:val="24"/>
      <w:szCs w:val="24"/>
    </w:rPr>
  </w:style>
  <w:style w:type="character" w:styleId="ZpatChar" w:customStyle="1">
    <w:name w:val="Zápatí Char"/>
    <w:basedOn w:val="DefaultParagraphFont"/>
    <w:uiPriority w:val="99"/>
    <w:qFormat/>
    <w:rsid w:val="00674bbd"/>
    <w:rPr>
      <w:sz w:val="24"/>
      <w:szCs w:val="24"/>
    </w:rPr>
  </w:style>
  <w:style w:type="character" w:styleId="TextbublinyChar" w:customStyle="1">
    <w:name w:val="Text bubliny Char"/>
    <w:basedOn w:val="DefaultParagraphFont"/>
    <w:link w:val="BalloonText"/>
    <w:uiPriority w:val="99"/>
    <w:semiHidden/>
    <w:qFormat/>
    <w:rsid w:val="00674bbd"/>
    <w:rPr>
      <w:rFonts w:ascii="Tahoma" w:hAnsi="Tahoma" w:cs="Tahoma"/>
      <w:sz w:val="16"/>
      <w:szCs w:val="16"/>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Caption">
    <w:name w:val="caption"/>
    <w:basedOn w:val="Normal"/>
    <w:next w:val="Normal"/>
    <w:qFormat/>
    <w:rsid w:val="005e1f10"/>
    <w:pPr/>
    <w:rPr>
      <w:b/>
      <w:bCs/>
      <w:sz w:val="16"/>
    </w:rPr>
  </w:style>
  <w:style w:type="paragraph" w:styleId="ListParagraph">
    <w:name w:val="List Paragraph"/>
    <w:basedOn w:val="Normal"/>
    <w:qFormat/>
    <w:rsid w:val="005e1f10"/>
    <w:pPr>
      <w:ind w:left="720" w:hanging="0"/>
      <w:jc w:val="left"/>
    </w:pPr>
    <w:rPr>
      <w:rFonts w:eastAsia="Calibri"/>
      <w:sz w:val="22"/>
      <w:szCs w:val="22"/>
      <w:lang w:eastAsia="en-US"/>
    </w:rPr>
  </w:style>
  <w:style w:type="paragraph" w:styleId="Zhlavazpat">
    <w:name w:val="Záhlaví a zápatí"/>
    <w:basedOn w:val="Normal"/>
    <w:qFormat/>
    <w:pPr/>
    <w:rPr/>
  </w:style>
  <w:style w:type="paragraph" w:styleId="Zhlav">
    <w:name w:val="Header"/>
    <w:basedOn w:val="Normal"/>
    <w:link w:val="ZhlavChar"/>
    <w:uiPriority w:val="99"/>
    <w:unhideWhenUsed/>
    <w:rsid w:val="00674bbd"/>
    <w:pPr>
      <w:tabs>
        <w:tab w:val="clear" w:pos="708"/>
        <w:tab w:val="center" w:pos="4536" w:leader="none"/>
        <w:tab w:val="right" w:pos="9072" w:leader="none"/>
      </w:tabs>
    </w:pPr>
    <w:rPr/>
  </w:style>
  <w:style w:type="paragraph" w:styleId="Zpat">
    <w:name w:val="Footer"/>
    <w:basedOn w:val="Normal"/>
    <w:link w:val="ZpatChar"/>
    <w:uiPriority w:val="99"/>
    <w:unhideWhenUsed/>
    <w:rsid w:val="00674bbd"/>
    <w:pPr>
      <w:tabs>
        <w:tab w:val="clear" w:pos="708"/>
        <w:tab w:val="center" w:pos="4536" w:leader="none"/>
        <w:tab w:val="right" w:pos="9072" w:leader="none"/>
      </w:tabs>
    </w:pPr>
    <w:rPr/>
  </w:style>
  <w:style w:type="paragraph" w:styleId="BalloonText">
    <w:name w:val="Balloon Text"/>
    <w:basedOn w:val="Normal"/>
    <w:link w:val="TextbublinyChar"/>
    <w:uiPriority w:val="99"/>
    <w:semiHidden/>
    <w:unhideWhenUsed/>
    <w:qFormat/>
    <w:rsid w:val="00674bbd"/>
    <w:pPr/>
    <w:rPr>
      <w:rFonts w:ascii="Tahoma" w:hAnsi="Tahoma" w:cs="Tahoma"/>
      <w:sz w:val="16"/>
      <w:szCs w:val="16"/>
    </w:rPr>
  </w:style>
  <w:style w:type="paragraph" w:styleId="Obsah3">
    <w:name w:val="TOC 3"/>
    <w:basedOn w:val="Normal"/>
    <w:next w:val="Normal"/>
    <w:autoRedefine/>
    <w:semiHidden/>
    <w:rsid w:val="00f55a57"/>
    <w:pPr>
      <w:ind w:left="480" w:hanging="0"/>
    </w:pPr>
    <w:rPr>
      <w:lang w:eastAsia="en-U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1547</TotalTime>
  <Application>LibreOffice/7.4.3.2$Windows_X86_64 LibreOffice_project/1048a8393ae2eeec98dff31b5c133c5f1d08b890</Application>
  <AppVersion>15.0000</AppVersion>
  <Pages>3</Pages>
  <Words>1099</Words>
  <Characters>6686</Characters>
  <CharactersWithSpaces>8012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2018-09-08T08:34:00Z</dcterms:created>
  <dc:creator>uzivatel</dc:creator>
  <dc:description/>
  <dc:language>cs-CZ</dc:language>
  <cp:lastModifiedBy/>
  <dcterms:modified xsi:type="dcterms:W3CDTF">2025-09-23T09:29:04Z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